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>End-User License Agreement (EULA) — FSSC 22000 AI Engine (Ukrainian (Українська))</w:t>
      </w:r>
    </w:p>
    <w:p>
      <w:r>
        <w:rPr>
          <w:sz w:val="22"/>
        </w:rPr>
        <w:t>Copyright © 2026 CONSULTING UA-RO L.L.C. (Ukraine / European Union).</w:t>
      </w:r>
    </w:p>
    <w:p>
      <w:r>
        <w:rPr>
          <w:b/>
          <w:sz w:val="26"/>
        </w:rPr>
        <w:t>1. License Grant &amp; Server Binding</w:t>
      </w:r>
    </w:p>
    <w:p>
      <w:r>
        <w:rPr>
          <w:sz w:val="22"/>
        </w:rPr>
        <w:t>Each license (Standalone SKU 1006 or CB Module Add-On SKU 1007) is bound to one (1) server IP address and hostname verified via consulting-ua.eu/api/verify_license.php.</w:t>
      </w:r>
    </w:p>
    <w:p>
      <w:r>
        <w:rPr>
          <w:b/>
          <w:sz w:val="26"/>
        </w:rPr>
        <w:t>2. Mode Lock &amp; Pay-Difference-Only Edition Upgrade</w:t>
      </w:r>
    </w:p>
    <w:p>
      <w:r>
        <w:rPr>
          <w:sz w:val="22"/>
        </w:rPr>
        <w:t>Module licenses (FSSC-2026-XXXX-XXXX) require a licensed parent CB Automation installation on the same server. To move to a standalone server, purchase the Edition Upgrade (SKU 1008, Pay Difference Only).</w:t>
      </w:r>
    </w:p>
    <w:p>
      <w:r>
        <w:rPr>
          <w:b/>
          <w:sz w:val="26"/>
        </w:rPr>
        <w:t>3. Maintenance Window</w:t>
      </w:r>
    </w:p>
    <w:p>
      <w:r>
        <w:rPr>
          <w:sz w:val="22"/>
        </w:rPr>
        <w:t>Lifetime licenses include free updates and FSSC v7.0 templates through 31 December 2027. Post-2028 updates require the optional Annual Maintenance Pack (SKU 1009).</w:t>
      </w:r>
    </w:p>
  </w:body>
</w:document>
</file>